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rFonts w:hint="eastAsia" w:eastAsia="黑体"/>
          <w:sz w:val="32"/>
          <w:szCs w:val="32"/>
          <w:lang w:val="en-US" w:eastAsia="zh-CN"/>
        </w:rPr>
      </w:pPr>
      <w:r>
        <w:rPr>
          <w:rFonts w:hint="eastAsia"/>
          <w:sz w:val="32"/>
          <w:szCs w:val="32"/>
          <w:lang w:val="en-US" w:eastAsia="zh-CN"/>
        </w:rPr>
        <w:t>附件：</w:t>
      </w: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湘西自治州肿瘤医院</w:t>
      </w:r>
      <w:r>
        <w:rPr>
          <w:rFonts w:hint="eastAsia"/>
          <w:sz w:val="84"/>
          <w:szCs w:val="84"/>
        </w:rPr>
        <w:t>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湘西自治州肿瘤医院</w:t>
      </w:r>
      <w:r>
        <w:rPr>
          <w:rFonts w:hint="eastAsia"/>
          <w:b/>
          <w:sz w:val="28"/>
          <w:szCs w:val="28"/>
        </w:rPr>
        <w:t>概况</w:t>
      </w:r>
    </w:p>
    <w:p>
      <w:pPr>
        <w:pStyle w:val="9"/>
        <w:numPr>
          <w:ilvl w:val="0"/>
          <w:numId w:val="1"/>
        </w:numPr>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9"/>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湘西自治州肿瘤医院</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2"/>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（一）贯彻执行党和国家关于肿瘤诊治及医疗技术服务方面的路线、方针、政策和国家的法律法规，制定医院全年的发展规划和年度计划，推进医疗卫生工作改革与发展。</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二）我院为我州县市及贵州铜仁市、重庆秀山县、怀化沅陵县、麻阳县城居、新农合定点医院。负责范围内病患的接待及诊治，各类优抚对象的诊治工作及老年康复工作，同时做好肿瘤的防治宣传及妇女的两癌筛查工作。</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lang w:eastAsia="zh-CN"/>
        </w:rPr>
        <w:t>（三）</w:t>
      </w:r>
      <w:r>
        <w:rPr>
          <w:rFonts w:hint="eastAsia" w:asciiTheme="minorEastAsia" w:hAnsiTheme="minorEastAsia"/>
          <w:sz w:val="32"/>
          <w:szCs w:val="32"/>
        </w:rPr>
        <w:t>为减少医疗风险，促进医护质量的规范化发展，严格执行医疗护理管理各项规章制度，制定并完善医疗护理质量，院感管理质量，病历书写质量，危重病人会诊，三级查房、重大手术讨论等各项规章制度，规范治疗工作的操作规程。</w:t>
      </w:r>
    </w:p>
    <w:p>
      <w:pPr>
        <w:ind w:firstLine="640" w:firstLineChars="200"/>
        <w:jc w:val="left"/>
        <w:rPr>
          <w:rFonts w:hint="eastAsia" w:asciiTheme="minorEastAsia" w:hAnsiTheme="minorEastAsia"/>
          <w:sz w:val="32"/>
          <w:szCs w:val="32"/>
          <w:lang w:eastAsia="zh-CN"/>
        </w:rPr>
      </w:pPr>
      <w:r>
        <w:rPr>
          <w:rFonts w:hint="eastAsia" w:asciiTheme="minorEastAsia" w:hAnsiTheme="minorEastAsia"/>
          <w:sz w:val="32"/>
          <w:szCs w:val="32"/>
          <w:lang w:eastAsia="zh-CN"/>
        </w:rPr>
        <w:t>（四）严格控制病人费用，坚持合理检查，合理用药、合理收费，努力降低患者的医疗费用，认真做好收费咨询工作，让患者和家属可以随时查询医疗服务收费情况，使患者能够放心治疗，构建以医疗安全，合理治疗、医疗费用、服务态度、医德医风为核心的诚信服务体系，打造让群众放心、满意的诚信医院。</w:t>
      </w:r>
    </w:p>
    <w:p>
      <w:pPr>
        <w:ind w:firstLine="640" w:firstLineChars="200"/>
        <w:jc w:val="left"/>
        <w:rPr>
          <w:rFonts w:hint="eastAsia" w:asciiTheme="minorEastAsia" w:hAnsiTheme="minorEastAsia"/>
          <w:sz w:val="32"/>
          <w:szCs w:val="32"/>
          <w:lang w:eastAsia="zh-CN"/>
        </w:rPr>
      </w:pPr>
      <w:r>
        <w:rPr>
          <w:rFonts w:hint="eastAsia" w:asciiTheme="minorEastAsia" w:hAnsiTheme="minorEastAsia"/>
          <w:sz w:val="32"/>
          <w:szCs w:val="32"/>
          <w:lang w:eastAsia="zh-CN"/>
        </w:rPr>
        <w:t>（五）努力提高我院医务人员的知识更新，技术换代，积极派遣专业技术人员到省级以上医院深造学习，同时，医院聘请省以上级的专家来组织继续教育讲课，举办专家讲座，为医护人员吸收新知识，新理论、掌握新技术、新方法创造良好的条件。</w:t>
      </w:r>
    </w:p>
    <w:p>
      <w:pPr>
        <w:ind w:firstLine="640" w:firstLineChars="200"/>
        <w:jc w:val="left"/>
        <w:rPr>
          <w:rFonts w:hint="default" w:asciiTheme="minorEastAsia" w:hAnsiTheme="minorEastAsia"/>
          <w:sz w:val="32"/>
          <w:szCs w:val="32"/>
          <w:lang w:val="en-US" w:eastAsia="zh-CN"/>
        </w:rPr>
      </w:pPr>
      <w:r>
        <w:rPr>
          <w:rFonts w:hint="eastAsia" w:asciiTheme="minorEastAsia" w:hAnsiTheme="minorEastAsia"/>
          <w:sz w:val="32"/>
          <w:szCs w:val="32"/>
          <w:lang w:eastAsia="zh-CN"/>
        </w:rPr>
        <w:t>（六）承办州民政局和上级业务部门交办的其他事项。</w:t>
      </w: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jc w:val="left"/>
        <w:rPr>
          <w:rFonts w:ascii="仿宋_GB2312" w:eastAsia="仿宋_GB2312" w:hAnsiTheme="minorEastAsia"/>
          <w:sz w:val="28"/>
          <w:szCs w:val="32"/>
        </w:rPr>
      </w:pP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湘西自治州肿瘤医院</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：14个职能科室，20个一级科室。</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lang w:eastAsia="zh-CN"/>
        </w:rPr>
        <w:t>）职能科室</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办公室；纪检委；人事科；财务科；经管科；后勤科；质控科；医务科；护理部；医院管理感染科；病案统计室；医保科；信息科；器械科。</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2</w:t>
      </w:r>
      <w:r>
        <w:rPr>
          <w:rFonts w:hint="eastAsia" w:asciiTheme="minorEastAsia" w:hAnsiTheme="minorEastAsia"/>
          <w:bCs/>
          <w:kern w:val="0"/>
          <w:sz w:val="32"/>
          <w:szCs w:val="32"/>
          <w:lang w:eastAsia="zh-CN"/>
        </w:rPr>
        <w:t>）一级科室</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肿瘤放疗科；肿瘤化疗科；肿瘤综合科；外科；妇瘤科；头颈科；内科；微创介入科；肿瘤放射治疗中心；影像科；麻醉科；透析中心；中医科；理疗科；供应室；功能科；内窥镜室；检验科；病理科；药剂科。</w:t>
      </w:r>
    </w:p>
    <w:p>
      <w:pPr>
        <w:snapToGrid w:val="0"/>
        <w:spacing w:line="360" w:lineRule="auto"/>
        <w:ind w:firstLine="560" w:firstLineChars="200"/>
        <w:rPr>
          <w:rFonts w:hint="eastAsia" w:ascii="仿宋_GB2312" w:eastAsia="仿宋_GB2312"/>
          <w:sz w:val="28"/>
          <w:szCs w:val="28"/>
          <w:lang w:eastAsia="zh-CN"/>
        </w:rPr>
      </w:pPr>
    </w:p>
    <w:p>
      <w:pPr>
        <w:widowControl/>
        <w:spacing w:line="600" w:lineRule="exact"/>
        <w:ind w:firstLine="640" w:firstLineChars="200"/>
        <w:rPr>
          <w:rFonts w:hint="eastAsia" w:asciiTheme="minorEastAsia" w:hAnsiTheme="minorEastAsia"/>
          <w:bCs/>
          <w:kern w:val="0"/>
          <w:sz w:val="32"/>
          <w:szCs w:val="32"/>
          <w:lang w:eastAsia="zh-CN"/>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3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54"/>
        <w:gridCol w:w="633"/>
        <w:gridCol w:w="2166"/>
        <w:gridCol w:w="4055"/>
        <w:gridCol w:w="638"/>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trPr>
        <w:tc>
          <w:tcPr>
            <w:tcW w:w="13720" w:type="dxa"/>
            <w:gridSpan w:val="6"/>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 w:hRule="atLeast"/>
        </w:trPr>
        <w:tc>
          <w:tcPr>
            <w:tcW w:w="40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 w:hRule="atLeast"/>
        </w:trPr>
        <w:tc>
          <w:tcPr>
            <w:tcW w:w="4054"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部门：湘西土家族苗族自治州肿瘤医院</w:t>
            </w:r>
          </w:p>
        </w:tc>
        <w:tc>
          <w:tcPr>
            <w:tcW w:w="6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68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867" w:type="dxa"/>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8"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2,730.13</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1,149.00</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5,000.11</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9,188.63</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18,067.88</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17,884.76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243.24</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101.00</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5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17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40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33"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1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18,412.12</w:t>
            </w:r>
          </w:p>
        </w:tc>
        <w:tc>
          <w:tcPr>
            <w:tcW w:w="4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1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18,412.12</w:t>
            </w:r>
          </w:p>
        </w:tc>
      </w:tr>
    </w:tbl>
    <w:p>
      <w:pPr>
        <w:jc w:val="left"/>
        <w:rPr>
          <w:rFonts w:hint="eastAsia" w:ascii="宋体" w:hAnsi="宋体" w:eastAsia="宋体" w:cs="宋体"/>
          <w:kern w:val="0"/>
          <w:sz w:val="24"/>
          <w:szCs w:val="24"/>
        </w:rPr>
      </w:pPr>
    </w:p>
    <w:p>
      <w:pPr>
        <w:jc w:val="left"/>
        <w:rPr>
          <w:rFonts w:hint="eastAsia" w:ascii="宋体" w:hAnsi="宋体" w:eastAsia="宋体" w:cs="宋体"/>
          <w:kern w:val="0"/>
          <w:sz w:val="24"/>
          <w:szCs w:val="24"/>
        </w:rPr>
      </w:pPr>
    </w:p>
    <w:p>
      <w:pPr>
        <w:jc w:val="left"/>
        <w:rPr>
          <w:rFonts w:ascii="黑体" w:hAnsi="黑体" w:eastAsia="黑体"/>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bl>
      <w:tblPr>
        <w:tblStyle w:val="5"/>
        <w:tblW w:w="138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6"/>
        <w:gridCol w:w="339"/>
        <w:gridCol w:w="907"/>
        <w:gridCol w:w="240"/>
        <w:gridCol w:w="2062"/>
        <w:gridCol w:w="1537"/>
        <w:gridCol w:w="1247"/>
        <w:gridCol w:w="1247"/>
        <w:gridCol w:w="1248"/>
        <w:gridCol w:w="1248"/>
        <w:gridCol w:w="1248"/>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9" w:hRule="atLeast"/>
        </w:trPr>
        <w:tc>
          <w:tcPr>
            <w:tcW w:w="13817" w:type="dxa"/>
            <w:gridSpan w:val="12"/>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4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4794"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部门：湘西土家族苗族自治州肿瘤医院</w:t>
            </w:r>
          </w:p>
        </w:tc>
        <w:tc>
          <w:tcPr>
            <w:tcW w:w="15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96"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479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3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4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4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58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209" w:type="dxa"/>
            <w:gridSpan w:val="3"/>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3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585"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9" w:type="dxa"/>
            <w:gridSpan w:val="3"/>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585"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09" w:type="dxa"/>
            <w:gridSpan w:val="3"/>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479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79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18,067.88</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3,879.13</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5,000.11</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9,188.63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946.04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946.04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2080109</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130.61</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130.61</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118.98</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118.98</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15,928.21</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1,739.47</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5,000.11</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15,887.44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1,698.70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5,000.11</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2100208</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其他专科医院</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15,872.75</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1,684.01</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5,000.11</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2340102</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重大疫情防控救治体系建设</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抗疫相关支出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8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2340299</w:t>
            </w:r>
          </w:p>
        </w:tc>
        <w:tc>
          <w:tcPr>
            <w:tcW w:w="320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15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jc w:val="both"/>
        <w:rPr>
          <w:rFonts w:ascii="黑体" w:hAnsi="黑体" w:eastAsia="黑体"/>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黑体" w:hAnsi="黑体" w:eastAsia="黑体"/>
          <w:sz w:val="28"/>
          <w:szCs w:val="28"/>
        </w:rPr>
        <w:t>注：本表反映部门本年度取得的各项收入情况。</w:t>
      </w:r>
    </w:p>
    <w:tbl>
      <w:tblPr>
        <w:tblStyle w:val="5"/>
        <w:tblW w:w="1505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9"/>
        <w:gridCol w:w="293"/>
        <w:gridCol w:w="1056"/>
        <w:gridCol w:w="1349"/>
        <w:gridCol w:w="1735"/>
        <w:gridCol w:w="1542"/>
        <w:gridCol w:w="1928"/>
        <w:gridCol w:w="1752"/>
        <w:gridCol w:w="1349"/>
        <w:gridCol w:w="135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34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349"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8"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c>
          <w:tcPr>
            <w:tcW w:w="17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3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9"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4047"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部门：湘西土家族苗族自治州肿瘤医院</w:t>
            </w:r>
          </w:p>
        </w:tc>
        <w:tc>
          <w:tcPr>
            <w:tcW w:w="17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0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78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4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9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4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642"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140" w:type="dxa"/>
            <w:gridSpan w:val="3"/>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64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40" w:type="dxa"/>
            <w:gridSpan w:val="3"/>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1642"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40" w:type="dxa"/>
            <w:gridSpan w:val="3"/>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4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78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578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17,884.76</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15,808.52</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2,076.24</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重点研发计划</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517.35</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136.04</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2080109</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130.61</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130.61</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118.98</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118.98</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16,171.45</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15,627.85</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543.60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16,130.68</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15,622.58</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2100208</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其他专科医院</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16,116.00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15,607.90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重大疫情防控救治体系建设</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抗疫相关支出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4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2340299</w:t>
            </w:r>
          </w:p>
        </w:tc>
        <w:tc>
          <w:tcPr>
            <w:tcW w:w="414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15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3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5053"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53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50"/>
        <w:gridCol w:w="945"/>
        <w:gridCol w:w="1414"/>
        <w:gridCol w:w="3516"/>
        <w:gridCol w:w="479"/>
        <w:gridCol w:w="1414"/>
        <w:gridCol w:w="1414"/>
        <w:gridCol w:w="141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15362" w:type="dxa"/>
            <w:gridSpan w:val="9"/>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09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部门：湘西土家族苗族自治州肿瘤医院</w:t>
            </w:r>
          </w:p>
        </w:tc>
        <w:tc>
          <w:tcPr>
            <w:tcW w:w="14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55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853"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1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7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14"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41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1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4"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45"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79"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2,730.13</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1,149.00</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517.35</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517.35</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1,739.47</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1,739.47</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3,879.13</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3,452.78</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2,302.44</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1,150.34</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101.00</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527.36</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428.69</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98.66</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5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35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15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4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3,980.13</w:t>
            </w:r>
          </w:p>
        </w:tc>
        <w:tc>
          <w:tcPr>
            <w:tcW w:w="35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3,980.13</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2,731.13</w:t>
            </w:r>
          </w:p>
        </w:tc>
        <w:tc>
          <w:tcPr>
            <w:tcW w:w="14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3746"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616"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widowControl/>
        <w:rPr>
          <w:rFonts w:ascii="Times New Roman" w:hAnsi="Times New Roman" w:eastAsia="方正小标宋_GBK" w:cs="Times New Roman"/>
          <w:color w:val="000000"/>
          <w:kern w:val="0"/>
          <w:sz w:val="36"/>
          <w:szCs w:val="36"/>
        </w:rPr>
        <w:sectPr>
          <w:pgSz w:w="16838" w:h="11906" w:orient="landscape"/>
          <w:pgMar w:top="283" w:right="720" w:bottom="283"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552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0"/>
        <w:gridCol w:w="173"/>
        <w:gridCol w:w="126"/>
        <w:gridCol w:w="604"/>
        <w:gridCol w:w="4437"/>
        <w:gridCol w:w="1673"/>
        <w:gridCol w:w="1673"/>
        <w:gridCol w:w="2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5523" w:type="dxa"/>
            <w:gridSpan w:val="8"/>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6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9"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61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部门：湘西土家族苗族自治州肿瘤医院</w:t>
            </w:r>
          </w:p>
        </w:tc>
        <w:tc>
          <w:tcPr>
            <w:tcW w:w="299"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7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功能分类科目编码</w:t>
            </w:r>
          </w:p>
        </w:tc>
        <w:tc>
          <w:tcPr>
            <w:tcW w:w="516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科目名称</w:t>
            </w:r>
          </w:p>
        </w:tc>
        <w:tc>
          <w:tcPr>
            <w:tcW w:w="167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小计</w:t>
            </w:r>
          </w:p>
        </w:tc>
        <w:tc>
          <w:tcPr>
            <w:tcW w:w="167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基本支出</w:t>
            </w:r>
          </w:p>
        </w:tc>
        <w:tc>
          <w:tcPr>
            <w:tcW w:w="222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5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50"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2,302.44</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1,376.53</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925.91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2060902</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重点研发计划</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517.35</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136.04</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2080109</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130.61</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130.61</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118.98</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118.98</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1,739.47</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1,195.87</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1,698.70</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1,190.60</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14.69</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2100208</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其他专科医院</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1,684.01</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1,175.91</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478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516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6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22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5523"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widowControl/>
        <w:rPr>
          <w:rFonts w:ascii="Times New Roman" w:hAnsi="Times New Roman" w:eastAsia="方正小标宋_GBK" w:cs="Times New Roman"/>
          <w:color w:val="000000"/>
          <w:kern w:val="0"/>
          <w:sz w:val="36"/>
          <w:szCs w:val="36"/>
        </w:rPr>
        <w:sectPr>
          <w:pgSz w:w="16838" w:h="11906" w:orient="landscape"/>
          <w:pgMar w:top="283" w:right="720" w:bottom="567"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537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4"/>
        <w:gridCol w:w="1521"/>
        <w:gridCol w:w="1910"/>
        <w:gridCol w:w="25"/>
        <w:gridCol w:w="1250"/>
        <w:gridCol w:w="1154"/>
        <w:gridCol w:w="1981"/>
        <w:gridCol w:w="890"/>
        <w:gridCol w:w="1100"/>
        <w:gridCol w:w="2893"/>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3" w:hRule="atLeast"/>
        </w:trPr>
        <w:tc>
          <w:tcPr>
            <w:tcW w:w="15374" w:type="dxa"/>
            <w:gridSpan w:val="11"/>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294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9" w:hRule="atLeast"/>
        </w:trPr>
        <w:tc>
          <w:tcPr>
            <w:tcW w:w="485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部门：湘西土家族苗族自治州肿瘤医院</w:t>
            </w:r>
          </w:p>
        </w:tc>
        <w:tc>
          <w:tcPr>
            <w:tcW w:w="127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1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613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44"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42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56" w:type="dxa"/>
            <w:gridSpan w:val="3"/>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5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9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2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14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456" w:type="dxa"/>
            <w:gridSpan w:val="3"/>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9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1,339.97</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1,050.75</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19.04</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44.29</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51.82</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124.18</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44.62</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11.86</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w:t>
            </w:r>
          </w:p>
        </w:tc>
        <w:tc>
          <w:tcPr>
            <w:tcW w:w="11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8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456"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8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2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431"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5"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9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89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85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7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1,351.83</w:t>
            </w:r>
          </w:p>
        </w:tc>
        <w:tc>
          <w:tcPr>
            <w:tcW w:w="801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5374"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widowControl/>
        <w:rPr>
          <w:rFonts w:ascii="Times New Roman" w:hAnsi="Times New Roman" w:eastAsia="方正小标宋_GBK" w:cs="Times New Roman"/>
          <w:color w:val="000000"/>
          <w:kern w:val="0"/>
          <w:sz w:val="36"/>
          <w:szCs w:val="36"/>
        </w:rPr>
        <w:sectPr>
          <w:pgSz w:w="16838" w:h="11906" w:orient="landscape"/>
          <w:pgMar w:top="283" w:right="720" w:bottom="567"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3"/>
        <w:gridCol w:w="1975"/>
        <w:gridCol w:w="1400"/>
        <w:gridCol w:w="1250"/>
        <w:gridCol w:w="1456"/>
        <w:gridCol w:w="1024"/>
        <w:gridCol w:w="1024"/>
        <w:gridCol w:w="1051"/>
        <w:gridCol w:w="1024"/>
        <w:gridCol w:w="1024"/>
        <w:gridCol w:w="102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15521" w:type="dxa"/>
            <w:gridSpan w:val="12"/>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16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8" w:hRule="atLeast"/>
        </w:trPr>
        <w:tc>
          <w:tcPr>
            <w:tcW w:w="165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部门：湘西土家族苗族自治州肿瘤医院</w:t>
            </w:r>
          </w:p>
        </w:tc>
        <w:tc>
          <w:tcPr>
            <w:tcW w:w="19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7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6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65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10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2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2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7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6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65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2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6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6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165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2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5521"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rPr>
          <w:rFonts w:ascii="Times New Roman" w:hAnsi="Times New Roman" w:eastAsia="方正小标宋_GBK" w:cs="Times New Roman"/>
          <w:color w:val="000000"/>
          <w:kern w:val="0"/>
          <w:sz w:val="36"/>
          <w:szCs w:val="36"/>
        </w:rPr>
        <w:sectPr>
          <w:pgSz w:w="16838" w:h="11906" w:orient="landscape"/>
          <w:pgMar w:top="283" w:right="720" w:bottom="567"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552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78"/>
        <w:gridCol w:w="386"/>
        <w:gridCol w:w="1408"/>
        <w:gridCol w:w="1408"/>
        <w:gridCol w:w="2316"/>
        <w:gridCol w:w="1078"/>
        <w:gridCol w:w="1311"/>
        <w:gridCol w:w="1311"/>
        <w:gridCol w:w="843"/>
        <w:gridCol w:w="1311"/>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1" w:hRule="atLeast"/>
        </w:trPr>
        <w:tc>
          <w:tcPr>
            <w:tcW w:w="15521" w:type="dxa"/>
            <w:gridSpan w:val="11"/>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6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7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8" w:hRule="atLeast"/>
        </w:trPr>
        <w:tc>
          <w:tcPr>
            <w:tcW w:w="2664"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部门：湘西土家族苗族自治州肿瘤医院</w:t>
            </w:r>
          </w:p>
        </w:tc>
        <w:tc>
          <w:tcPr>
            <w:tcW w:w="14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7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7796" w:type="dxa"/>
            <w:gridSpan w:val="5"/>
            <w:tcBorders>
              <w:top w:val="single" w:color="000000" w:sz="4" w:space="0"/>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78"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11"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465" w:type="dxa"/>
            <w:gridSpan w:val="3"/>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71" w:type="dxa"/>
            <w:vMerge w:val="restart"/>
            <w:tcBorders>
              <w:top w:val="single" w:color="000000" w:sz="4" w:space="0"/>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2278" w:type="dxa"/>
            <w:vMerge w:val="restart"/>
            <w:tcBorders>
              <w:top w:val="nil"/>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518" w:type="dxa"/>
            <w:gridSpan w:val="4"/>
            <w:vMerge w:val="restart"/>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78"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31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311" w:type="dxa"/>
            <w:vMerge w:val="restart"/>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11" w:type="dxa"/>
            <w:vMerge w:val="restart"/>
            <w:tcBorders>
              <w:top w:val="nil"/>
              <w:left w:val="nil"/>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2278" w:type="dxa"/>
            <w:vMerge w:val="continue"/>
            <w:tcBorders>
              <w:top w:val="nil"/>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5518" w:type="dxa"/>
            <w:gridSpan w:val="4"/>
            <w:vMerge w:val="continue"/>
            <w:tcBorders>
              <w:top w:val="nil"/>
              <w:left w:val="nil"/>
              <w:bottom w:val="single" w:color="000000"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31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311"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311"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8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2278" w:type="dxa"/>
            <w:vMerge w:val="continue"/>
            <w:tcBorders>
              <w:top w:val="nil"/>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5518" w:type="dxa"/>
            <w:gridSpan w:val="4"/>
            <w:vMerge w:val="continue"/>
            <w:tcBorders>
              <w:top w:val="nil"/>
              <w:left w:val="nil"/>
              <w:bottom w:val="single" w:color="000000" w:sz="4" w:space="0"/>
              <w:right w:val="single" w:color="000000" w:sz="4" w:space="0"/>
            </w:tcBorders>
            <w:shd w:val="clear" w:color="FFFFFF" w:fill="auto"/>
            <w:noWrap/>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31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311"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311" w:type="dxa"/>
            <w:vMerge w:val="continue"/>
            <w:tcBorders>
              <w:top w:val="nil"/>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c>
          <w:tcPr>
            <w:tcW w:w="1871" w:type="dxa"/>
            <w:vMerge w:val="continue"/>
            <w:tcBorders>
              <w:top w:val="single" w:color="000000" w:sz="4" w:space="0"/>
              <w:left w:val="nil"/>
              <w:bottom w:val="single" w:color="000000" w:sz="4" w:space="0"/>
              <w:right w:val="single" w:color="000000" w:sz="4" w:space="0"/>
            </w:tcBorders>
            <w:shd w:val="clear" w:color="FFFFFF"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7796" w:type="dxa"/>
            <w:gridSpan w:val="5"/>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78"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11"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11"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1"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71"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96" w:type="dxa"/>
            <w:gridSpan w:val="5"/>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1,149.00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1,150.34</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1,150.34</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5518" w:type="dxa"/>
            <w:gridSpan w:val="4"/>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551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551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101.34</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551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1,049.00</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551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2340102</w:t>
            </w:r>
          </w:p>
        </w:tc>
        <w:tc>
          <w:tcPr>
            <w:tcW w:w="551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重大疫情防控救治体系建设</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w:t>
            </w:r>
          </w:p>
        </w:tc>
        <w:tc>
          <w:tcPr>
            <w:tcW w:w="551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抗疫相关支出</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2340299</w:t>
            </w:r>
          </w:p>
        </w:tc>
        <w:tc>
          <w:tcPr>
            <w:tcW w:w="551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10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549.00</w:t>
            </w:r>
          </w:p>
        </w:tc>
        <w:tc>
          <w:tcPr>
            <w:tcW w:w="18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18"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18"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7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18"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5521"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widowControl/>
        <w:rPr>
          <w:rFonts w:ascii="Times New Roman" w:hAnsi="Times New Roman" w:eastAsia="方正小标宋_GBK" w:cs="Times New Roman"/>
          <w:b/>
          <w:bCs/>
          <w:color w:val="000000"/>
          <w:kern w:val="0"/>
          <w:sz w:val="36"/>
          <w:szCs w:val="36"/>
        </w:rPr>
        <w:sectPr>
          <w:pgSz w:w="16838" w:h="11906" w:orient="landscape"/>
          <w:pgMar w:top="283" w:right="720" w:bottom="567" w:left="720" w:header="851"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adjustRightInd w:val="0"/>
        <w:ind w:left="315" w:leftChars="150"/>
        <w:jc w:val="left"/>
        <w:rPr>
          <w:rFonts w:ascii="宋体" w:eastAsia="宋体" w:cs="宋体"/>
          <w:kern w:val="0"/>
          <w:sz w:val="24"/>
          <w:szCs w:val="24"/>
        </w:rPr>
      </w:pPr>
    </w:p>
    <w:tbl>
      <w:tblPr>
        <w:tblStyle w:val="5"/>
        <w:tblW w:w="15280" w:type="dxa"/>
        <w:tblInd w:w="93" w:type="dxa"/>
        <w:shd w:val="clear" w:color="auto" w:fill="auto"/>
        <w:tblLayout w:type="autofit"/>
        <w:tblCellMar>
          <w:top w:w="0" w:type="dxa"/>
          <w:left w:w="108" w:type="dxa"/>
          <w:bottom w:w="0" w:type="dxa"/>
          <w:right w:w="108" w:type="dxa"/>
        </w:tblCellMar>
      </w:tblPr>
      <w:tblGrid>
        <w:gridCol w:w="1141"/>
        <w:gridCol w:w="603"/>
        <w:gridCol w:w="1173"/>
        <w:gridCol w:w="2288"/>
        <w:gridCol w:w="1319"/>
        <w:gridCol w:w="1427"/>
        <w:gridCol w:w="1394"/>
        <w:gridCol w:w="1811"/>
        <w:gridCol w:w="4124"/>
      </w:tblGrid>
      <w:tr>
        <w:tblPrEx>
          <w:shd w:val="clear" w:color="auto" w:fill="auto"/>
          <w:tblCellMar>
            <w:top w:w="0" w:type="dxa"/>
            <w:left w:w="108" w:type="dxa"/>
            <w:bottom w:w="0" w:type="dxa"/>
            <w:right w:w="108" w:type="dxa"/>
          </w:tblCellMar>
        </w:tblPrEx>
        <w:trPr>
          <w:trHeight w:val="749" w:hRule="atLeast"/>
        </w:trPr>
        <w:tc>
          <w:tcPr>
            <w:tcW w:w="15280" w:type="dxa"/>
            <w:gridSpan w:val="9"/>
            <w:tcBorders>
              <w:top w:val="nil"/>
              <w:left w:val="nil"/>
              <w:bottom w:val="nil"/>
              <w:right w:val="nil"/>
            </w:tcBorders>
            <w:shd w:val="clear" w:color="auto" w:fill="auto"/>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324" w:hRule="atLeast"/>
        </w:trPr>
        <w:tc>
          <w:tcPr>
            <w:tcW w:w="1141" w:type="dxa"/>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03" w:type="dxa"/>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61" w:type="dxa"/>
            <w:gridSpan w:val="2"/>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19" w:type="dxa"/>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21"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935"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532" w:hRule="atLeast"/>
        </w:trPr>
        <w:tc>
          <w:tcPr>
            <w:tcW w:w="5205" w:type="dxa"/>
            <w:gridSpan w:val="4"/>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部门：湘西土家族苗族自治州肿瘤医院</w:t>
            </w:r>
          </w:p>
        </w:tc>
        <w:tc>
          <w:tcPr>
            <w:tcW w:w="1319" w:type="dxa"/>
            <w:tcBorders>
              <w:top w:val="nil"/>
              <w:left w:val="nil"/>
              <w:bottom w:val="single" w:color="auto" w:sz="8"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821" w:type="dxa"/>
            <w:gridSpan w:val="2"/>
            <w:tcBorders>
              <w:top w:val="nil"/>
              <w:left w:val="nil"/>
              <w:bottom w:val="single" w:color="auto" w:sz="8"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935"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39" w:hRule="atLeast"/>
        </w:trPr>
        <w:tc>
          <w:tcPr>
            <w:tcW w:w="520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1007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29" w:hRule="atLeast"/>
        </w:trPr>
        <w:tc>
          <w:tcPr>
            <w:tcW w:w="2917"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2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74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320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41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29" w:hRule="atLeast"/>
        </w:trPr>
        <w:tc>
          <w:tcPr>
            <w:tcW w:w="2917" w:type="dxa"/>
            <w:gridSpan w:val="3"/>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2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74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20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412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29" w:hRule="atLeast"/>
        </w:trPr>
        <w:tc>
          <w:tcPr>
            <w:tcW w:w="2917" w:type="dxa"/>
            <w:gridSpan w:val="3"/>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28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2746"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3205"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c>
          <w:tcPr>
            <w:tcW w:w="412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29" w:hRule="atLeast"/>
        </w:trPr>
        <w:tc>
          <w:tcPr>
            <w:tcW w:w="520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7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41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29" w:hRule="atLeast"/>
        </w:trPr>
        <w:tc>
          <w:tcPr>
            <w:tcW w:w="520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7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41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29" w:hRule="atLeast"/>
        </w:trPr>
        <w:tc>
          <w:tcPr>
            <w:tcW w:w="174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4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29" w:hRule="atLeast"/>
        </w:trPr>
        <w:tc>
          <w:tcPr>
            <w:tcW w:w="174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4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29" w:hRule="atLeast"/>
        </w:trPr>
        <w:tc>
          <w:tcPr>
            <w:tcW w:w="174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74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29" w:hRule="atLeast"/>
        </w:trPr>
        <w:tc>
          <w:tcPr>
            <w:tcW w:w="174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4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29" w:hRule="atLeast"/>
        </w:trPr>
        <w:tc>
          <w:tcPr>
            <w:tcW w:w="174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4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29" w:hRule="atLeast"/>
        </w:trPr>
        <w:tc>
          <w:tcPr>
            <w:tcW w:w="1744"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46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746"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0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24"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70" w:hRule="atLeast"/>
        </w:trPr>
        <w:tc>
          <w:tcPr>
            <w:tcW w:w="1528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支总计18412.12万元。与</w:t>
      </w:r>
      <w:r>
        <w:rPr>
          <w:rFonts w:hint="eastAsia" w:asciiTheme="minorEastAsia" w:hAnsiTheme="minorEastAsia" w:eastAsiaTheme="minorEastAsia"/>
          <w:sz w:val="32"/>
          <w:szCs w:val="32"/>
          <w:lang w:val="en-US" w:eastAsia="zh-CN"/>
        </w:rPr>
        <w:t>2019年的20602.57万元</w:t>
      </w:r>
      <w:r>
        <w:rPr>
          <w:rFonts w:hint="eastAsia" w:asciiTheme="minorEastAsia" w:hAnsiTheme="minorEastAsia" w:eastAsiaTheme="minorEastAsia"/>
          <w:sz w:val="32"/>
          <w:szCs w:val="32"/>
        </w:rPr>
        <w:t>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2190.45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降低</w:t>
      </w:r>
      <w:r>
        <w:rPr>
          <w:rFonts w:hint="eastAsia" w:asciiTheme="minorEastAsia" w:hAnsiTheme="minorEastAsia" w:eastAsiaTheme="minorEastAsia"/>
          <w:sz w:val="32"/>
          <w:szCs w:val="32"/>
          <w:lang w:val="en-US" w:eastAsia="zh-CN"/>
        </w:rPr>
        <w:t>10.63</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val="en-US" w:eastAsia="zh-CN"/>
        </w:rPr>
        <w:t>2020年我院作为新冠肺炎定点收治医院业务收入较上年减少导致。</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本年收入合计18067.88万元，其中：财政拨款收入</w:t>
      </w:r>
      <w:r>
        <w:rPr>
          <w:rFonts w:hint="eastAsia" w:asciiTheme="minorEastAsia" w:hAnsiTheme="minorEastAsia" w:eastAsiaTheme="minorEastAsia"/>
          <w:sz w:val="32"/>
          <w:szCs w:val="32"/>
          <w:lang w:val="en-US" w:eastAsia="zh-CN"/>
        </w:rPr>
        <w:t>3879.13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21.47</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5000.11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27.67</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9188.63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50.85</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本年支出合计17884.76万元，其中：基本支出15808.52万元，占</w:t>
      </w:r>
      <w:r>
        <w:rPr>
          <w:rFonts w:hint="eastAsia" w:asciiTheme="minorEastAsia" w:hAnsiTheme="minorEastAsia" w:eastAsiaTheme="minorEastAsia"/>
          <w:sz w:val="32"/>
          <w:szCs w:val="32"/>
          <w:lang w:val="en-US" w:eastAsia="zh-CN"/>
        </w:rPr>
        <w:t>88.39</w:t>
      </w:r>
      <w:r>
        <w:rPr>
          <w:rFonts w:hint="eastAsia" w:asciiTheme="minorEastAsia" w:hAnsiTheme="minorEastAsia" w:eastAsiaTheme="minorEastAsia"/>
          <w:sz w:val="32"/>
          <w:szCs w:val="32"/>
        </w:rPr>
        <w:t>%；项目支出2076.24万元，占</w:t>
      </w:r>
      <w:r>
        <w:rPr>
          <w:rFonts w:hint="eastAsia" w:asciiTheme="minorEastAsia" w:hAnsiTheme="minorEastAsia" w:eastAsiaTheme="minorEastAsia"/>
          <w:sz w:val="32"/>
          <w:szCs w:val="32"/>
          <w:lang w:val="en-US" w:eastAsia="zh-CN"/>
        </w:rPr>
        <w:t>11.61</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2020年度财政拨款收、支总计3980.13万元，与</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lang w:val="en-US" w:eastAsia="zh-CN"/>
        </w:rPr>
        <w:t>1680.66万元</w:t>
      </w:r>
      <w:r>
        <w:rPr>
          <w:rFonts w:hint="eastAsia" w:asciiTheme="minorEastAsia" w:hAnsiTheme="minorEastAsia" w:eastAsiaTheme="minorEastAsia"/>
          <w:sz w:val="32"/>
          <w:szCs w:val="32"/>
        </w:rPr>
        <w:t>相比，增加</w:t>
      </w:r>
      <w:r>
        <w:rPr>
          <w:rFonts w:hint="eastAsia" w:asciiTheme="minorEastAsia" w:hAnsiTheme="minorEastAsia" w:eastAsiaTheme="minorEastAsia"/>
          <w:sz w:val="32"/>
          <w:szCs w:val="32"/>
          <w:lang w:val="en-US" w:eastAsia="zh-CN"/>
        </w:rPr>
        <w:t>2299.47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136.82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我院作为州直新冠肺炎定点医院，因闭院期间无医疗业务收入，财政增加了拨款力度。</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2020年度财政拨款支出3452.78万元，占本年支出合计的</w:t>
      </w:r>
      <w:r>
        <w:rPr>
          <w:rFonts w:hint="eastAsia" w:asciiTheme="minorEastAsia" w:hAnsiTheme="minorEastAsia" w:eastAsiaTheme="minorEastAsia"/>
          <w:sz w:val="32"/>
          <w:szCs w:val="32"/>
          <w:lang w:val="en-US" w:eastAsia="zh-CN"/>
        </w:rPr>
        <w:t>19.31</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2019年1579.66万元</w:t>
      </w:r>
      <w:r>
        <w:rPr>
          <w:rFonts w:hint="eastAsia" w:asciiTheme="minorEastAsia" w:hAnsiTheme="minorEastAsia" w:eastAsiaTheme="minorEastAsia"/>
          <w:sz w:val="32"/>
          <w:szCs w:val="32"/>
        </w:rPr>
        <w:t>相比，财政拨款支出增加</w:t>
      </w:r>
      <w:r>
        <w:rPr>
          <w:rFonts w:hint="eastAsia" w:asciiTheme="minorEastAsia" w:hAnsiTheme="minorEastAsia" w:eastAsiaTheme="minorEastAsia"/>
          <w:sz w:val="32"/>
          <w:szCs w:val="32"/>
          <w:lang w:val="en-US" w:eastAsia="zh-CN"/>
        </w:rPr>
        <w:t>1873.12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118.58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州财政按据实</w:t>
      </w:r>
      <w:r>
        <w:rPr>
          <w:rFonts w:hint="eastAsia" w:asciiTheme="minorEastAsia" w:hAnsiTheme="minorEastAsia" w:eastAsiaTheme="minorEastAsia"/>
          <w:sz w:val="32"/>
          <w:szCs w:val="32"/>
          <w:lang w:val="en-US" w:eastAsia="zh-CN"/>
        </w:rPr>
        <w:t>补助了定点医院2-6月份工资，同时提供了500万元地方债券及500万元抗疫国债用于新点医院的改造以及前期建设形成的债务。</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2020年度财政拨款支出3452.78万元，主要用于以下方面：社会保障和就业支出517.35万元，占</w:t>
      </w:r>
      <w:r>
        <w:rPr>
          <w:rFonts w:hint="eastAsia" w:asciiTheme="minorEastAsia" w:hAnsiTheme="minorEastAsia" w:eastAsiaTheme="minorEastAsia"/>
          <w:sz w:val="32"/>
          <w:szCs w:val="32"/>
          <w:lang w:val="en-US" w:eastAsia="zh-CN"/>
        </w:rPr>
        <w:t>14.98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卫生健康支出1739.47万元，占</w:t>
      </w:r>
      <w:r>
        <w:rPr>
          <w:rFonts w:hint="eastAsia" w:asciiTheme="minorEastAsia" w:hAnsiTheme="minorEastAsia" w:eastAsiaTheme="minorEastAsia"/>
          <w:sz w:val="32"/>
          <w:szCs w:val="32"/>
          <w:lang w:val="en-US" w:eastAsia="zh-CN"/>
        </w:rPr>
        <w:t>50.38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；住房保障支出支出44.62万元，占</w:t>
      </w:r>
      <w:r>
        <w:rPr>
          <w:rFonts w:hint="eastAsia" w:asciiTheme="minorEastAsia" w:hAnsiTheme="minorEastAsia" w:eastAsiaTheme="minorEastAsia"/>
          <w:sz w:val="32"/>
          <w:szCs w:val="32"/>
          <w:lang w:val="en-US" w:eastAsia="zh-CN"/>
        </w:rPr>
        <w:t>1.29%，其他支出101.34万元，占2.93%；抗疫特别国债安排的支出1049万元，占30.38%。</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968.37</w:t>
      </w:r>
      <w:r>
        <w:rPr>
          <w:rFonts w:hint="eastAsia" w:asciiTheme="minorEastAsia" w:hAnsiTheme="minorEastAsia" w:eastAsiaTheme="minorEastAsia"/>
          <w:sz w:val="32"/>
          <w:szCs w:val="32"/>
        </w:rPr>
        <w:t>万元，支出决算数为3452.78万元，完成年初预算的</w:t>
      </w:r>
      <w:r>
        <w:rPr>
          <w:rFonts w:hint="eastAsia" w:asciiTheme="minorEastAsia" w:hAnsiTheme="minorEastAsia" w:eastAsiaTheme="minorEastAsia"/>
          <w:sz w:val="32"/>
          <w:szCs w:val="32"/>
          <w:lang w:val="en-US" w:eastAsia="zh-CN"/>
        </w:rPr>
        <w:t>356.55</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1、科学技术支出</w:t>
      </w:r>
      <w:r>
        <w:rPr>
          <w:rFonts w:hint="eastAsia" w:asciiTheme="minorEastAsia" w:hAnsiTheme="minorEastAsia" w:eastAsiaTheme="minorEastAsia"/>
          <w:sz w:val="32"/>
          <w:szCs w:val="32"/>
          <w:lang w:val="en-US" w:eastAsia="zh-CN"/>
        </w:rPr>
        <w:t>-科技重大项目-重点研发计划</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为</w:t>
      </w:r>
      <w:r>
        <w:rPr>
          <w:rFonts w:hint="eastAsia" w:asciiTheme="minorEastAsia" w:hAnsiTheme="minorEastAsia" w:eastAsiaTheme="minorEastAsia"/>
          <w:sz w:val="32"/>
          <w:szCs w:val="32"/>
        </w:rPr>
        <w:t>年初</w:t>
      </w:r>
      <w:r>
        <w:rPr>
          <w:rFonts w:hint="eastAsia" w:asciiTheme="minorEastAsia" w:hAnsiTheme="minorEastAsia" w:eastAsiaTheme="minorEastAsia"/>
          <w:sz w:val="32"/>
          <w:szCs w:val="32"/>
          <w:lang w:eastAsia="zh-CN"/>
        </w:rPr>
        <w:t>结转余额</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该项目资金为以前年度结转的专项资金，本年已经使用完毕。</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w:t>
      </w:r>
      <w:r>
        <w:rPr>
          <w:rFonts w:hint="eastAsia" w:asciiTheme="minorEastAsia" w:hAnsiTheme="minorEastAsia" w:eastAsiaTheme="minorEastAsia"/>
          <w:sz w:val="32"/>
          <w:szCs w:val="32"/>
          <w:lang w:val="en-US" w:eastAsia="zh-CN"/>
        </w:rPr>
        <w:t>-人力资源和社会保障管理事务</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5.2</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3"/>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eastAsia="zh-CN"/>
        </w:rPr>
        <w:t>行政事业单位养老支出。</w:t>
      </w:r>
    </w:p>
    <w:p>
      <w:pPr>
        <w:pStyle w:val="9"/>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130.61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130.61</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-伤残抚恤。</w:t>
      </w:r>
    </w:p>
    <w:p>
      <w:pPr>
        <w:pStyle w:val="9"/>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0.24</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-其他社会保障和就业支出</w:t>
      </w:r>
    </w:p>
    <w:p>
      <w:pPr>
        <w:pStyle w:val="9"/>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381.31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381.31</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lang w:val="en-US" w:eastAsia="zh-CN"/>
        </w:rPr>
        <w:t>-卫生健康管理事务。</w:t>
      </w:r>
    </w:p>
    <w:p>
      <w:pPr>
        <w:pStyle w:val="9"/>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35.5</w:t>
      </w:r>
      <w:r>
        <w:rPr>
          <w:rFonts w:hint="eastAsia" w:asciiTheme="minorEastAsia" w:hAnsiTheme="minorEastAsia" w:eastAsiaTheme="minorEastAsia"/>
          <w:sz w:val="32"/>
          <w:szCs w:val="32"/>
        </w:rPr>
        <w:t>元，决算数大于年初预算数的主要原因是</w:t>
      </w:r>
      <w:r>
        <w:rPr>
          <w:rFonts w:hint="eastAsia" w:asciiTheme="minorEastAsia" w:hAnsiTheme="minorEastAsia" w:eastAsiaTheme="minorEastAsia"/>
          <w:sz w:val="32"/>
          <w:szCs w:val="32"/>
          <w:lang w:eastAsia="zh-CN"/>
        </w:rPr>
        <w:t>该笔资金为公立改革补助款，由州卫健委报预算并拨至各家医院。</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lang w:val="en-US" w:eastAsia="zh-CN"/>
        </w:rPr>
        <w:t>-公立医院。</w:t>
      </w:r>
    </w:p>
    <w:p>
      <w:pPr>
        <w:pStyle w:val="9"/>
        <w:numPr>
          <w:ilvl w:val="0"/>
          <w:numId w:val="0"/>
        </w:numPr>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400.12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1698.7</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424.55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w:t>
      </w:r>
      <w:r>
        <w:rPr>
          <w:rFonts w:hint="eastAsia" w:asciiTheme="minorEastAsia" w:hAnsiTheme="minorEastAsia" w:eastAsiaTheme="minorEastAsia"/>
          <w:sz w:val="32"/>
          <w:szCs w:val="32"/>
        </w:rPr>
        <w:t>算数大于年初预算数的主要原因是</w:t>
      </w:r>
      <w:r>
        <w:rPr>
          <w:rFonts w:hint="eastAsia" w:asciiTheme="minorEastAsia" w:hAnsiTheme="minorEastAsia" w:eastAsiaTheme="minorEastAsia"/>
          <w:sz w:val="32"/>
          <w:szCs w:val="32"/>
          <w:lang w:eastAsia="zh-CN"/>
        </w:rPr>
        <w:t>我院作为州直新冠肺炎定点救治医院，州财政对我院</w:t>
      </w:r>
      <w:r>
        <w:rPr>
          <w:rFonts w:hint="eastAsia" w:asciiTheme="minorEastAsia" w:hAnsiTheme="minorEastAsia" w:eastAsiaTheme="minorEastAsia"/>
          <w:sz w:val="32"/>
          <w:szCs w:val="32"/>
          <w:lang w:val="en-US" w:eastAsia="zh-CN"/>
        </w:rPr>
        <w:t>2-6月闭院期间的人员工资进行了补差，同时提供了500万元地方债券用于定点医院改造及解决医院前期建设形成的债务。</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lang w:val="en-US" w:eastAsia="zh-CN"/>
        </w:rPr>
        <w:t>-行政事业单位医疗。</w:t>
      </w:r>
    </w:p>
    <w:p>
      <w:pPr>
        <w:pStyle w:val="9"/>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5.27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5.27</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住房保障支出</w:t>
      </w:r>
      <w:r>
        <w:rPr>
          <w:rFonts w:hint="eastAsia" w:asciiTheme="minorEastAsia" w:hAnsiTheme="minorEastAsia" w:eastAsiaTheme="minorEastAsia"/>
          <w:sz w:val="32"/>
          <w:szCs w:val="32"/>
          <w:lang w:val="en-US" w:eastAsia="zh-CN"/>
        </w:rPr>
        <w:t>-住房改革支出-住房公积金。</w:t>
      </w:r>
    </w:p>
    <w:p>
      <w:pPr>
        <w:pStyle w:val="9"/>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44.62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44.62</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其他支出</w:t>
      </w:r>
      <w:r>
        <w:rPr>
          <w:rFonts w:hint="eastAsia" w:asciiTheme="minorEastAsia" w:hAnsiTheme="minorEastAsia" w:eastAsiaTheme="minorEastAsia"/>
          <w:sz w:val="32"/>
          <w:szCs w:val="32"/>
          <w:lang w:val="en-US" w:eastAsia="zh-CN"/>
        </w:rPr>
        <w:t>-彩票公益金安排的支出-2020年中央福彩金。</w:t>
      </w:r>
    </w:p>
    <w:p>
      <w:pPr>
        <w:pStyle w:val="9"/>
        <w:numPr>
          <w:ilvl w:val="0"/>
          <w:numId w:val="0"/>
        </w:numPr>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决</w:t>
      </w:r>
      <w:r>
        <w:rPr>
          <w:rFonts w:hint="eastAsia" w:asciiTheme="minorEastAsia" w:hAnsiTheme="minorEastAsia" w:eastAsiaTheme="minorEastAsia"/>
          <w:sz w:val="32"/>
          <w:szCs w:val="32"/>
        </w:rPr>
        <w:t>算数大于年初预算数的主要原因是</w:t>
      </w:r>
      <w:r>
        <w:rPr>
          <w:rFonts w:hint="eastAsia" w:asciiTheme="minorEastAsia" w:hAnsiTheme="minorEastAsia" w:eastAsiaTheme="minorEastAsia"/>
          <w:sz w:val="32"/>
          <w:szCs w:val="32"/>
          <w:lang w:eastAsia="zh-CN"/>
        </w:rPr>
        <w:t>该笔福彩金由省民政厅按中央预算分解至各个预算单位，不在我单位年度预算计划内。</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抗疫特别国债安排的支出</w:t>
      </w:r>
      <w:r>
        <w:rPr>
          <w:rFonts w:hint="eastAsia" w:asciiTheme="minorEastAsia" w:hAnsiTheme="minorEastAsia" w:eastAsiaTheme="minorEastAsia"/>
          <w:sz w:val="32"/>
          <w:szCs w:val="32"/>
          <w:lang w:val="en-US" w:eastAsia="zh-CN"/>
        </w:rPr>
        <w:t>-基础设施建设-重大疫情防控救治体系建设。</w:t>
      </w:r>
    </w:p>
    <w:p>
      <w:pPr>
        <w:pStyle w:val="9"/>
        <w:numPr>
          <w:ilvl w:val="0"/>
          <w:numId w:val="0"/>
        </w:numPr>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年初预算为0，支出决算为500万元，</w:t>
      </w:r>
      <w:r>
        <w:rPr>
          <w:rFonts w:hint="eastAsia" w:asciiTheme="minorEastAsia" w:hAnsiTheme="minorEastAsia" w:eastAsiaTheme="minorEastAsia"/>
          <w:sz w:val="32"/>
          <w:szCs w:val="32"/>
        </w:rPr>
        <w:t>是</w:t>
      </w:r>
      <w:r>
        <w:rPr>
          <w:rFonts w:hint="eastAsia" w:asciiTheme="minorEastAsia" w:hAnsiTheme="minorEastAsia" w:eastAsiaTheme="minorEastAsia"/>
          <w:sz w:val="32"/>
          <w:szCs w:val="32"/>
          <w:lang w:eastAsia="zh-CN"/>
        </w:rPr>
        <w:t>我院作为州直新冠肺炎定点救治医院，州财政向我院提供了</w:t>
      </w:r>
      <w:r>
        <w:rPr>
          <w:rFonts w:hint="eastAsia" w:asciiTheme="minorEastAsia" w:hAnsiTheme="minorEastAsia" w:eastAsiaTheme="minorEastAsia"/>
          <w:sz w:val="32"/>
          <w:szCs w:val="32"/>
          <w:lang w:val="en-US" w:eastAsia="zh-CN"/>
        </w:rPr>
        <w:t>500万元中央发行的抗疫国债用于定点医院改造。</w:t>
      </w:r>
    </w:p>
    <w:p>
      <w:pPr>
        <w:pStyle w:val="9"/>
        <w:numPr>
          <w:ilvl w:val="0"/>
          <w:numId w:val="3"/>
        </w:numPr>
        <w:ind w:firstLine="800" w:firstLineChars="250"/>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t>抗疫特别国债安排的支出</w:t>
      </w:r>
      <w:r>
        <w:rPr>
          <w:rFonts w:hint="eastAsia" w:asciiTheme="minorEastAsia" w:hAnsiTheme="minorEastAsia" w:eastAsiaTheme="minorEastAsia"/>
          <w:sz w:val="32"/>
          <w:szCs w:val="32"/>
          <w:lang w:val="en-US" w:eastAsia="zh-CN"/>
        </w:rPr>
        <w:t>-抗疫相关支出-其他抗疫相关支出。</w:t>
      </w:r>
    </w:p>
    <w:p>
      <w:pPr>
        <w:pStyle w:val="9"/>
        <w:numPr>
          <w:ilvl w:val="0"/>
          <w:numId w:val="0"/>
        </w:numPr>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年初预算为0，支出决算为549万元，</w:t>
      </w:r>
      <w:r>
        <w:rPr>
          <w:rFonts w:hint="eastAsia" w:asciiTheme="minorEastAsia" w:hAnsiTheme="minorEastAsia" w:eastAsiaTheme="minorEastAsia"/>
          <w:sz w:val="32"/>
          <w:szCs w:val="32"/>
        </w:rPr>
        <w:t>是</w:t>
      </w:r>
      <w:r>
        <w:rPr>
          <w:rFonts w:hint="eastAsia" w:asciiTheme="minorEastAsia" w:hAnsiTheme="minorEastAsia" w:eastAsiaTheme="minorEastAsia"/>
          <w:sz w:val="32"/>
          <w:szCs w:val="32"/>
          <w:lang w:eastAsia="zh-CN"/>
        </w:rPr>
        <w:t>我院作为州直新冠肺炎定点救治医院，闭院期间无医疗业务收入，州财政为我院提供了</w:t>
      </w:r>
      <w:r>
        <w:rPr>
          <w:rFonts w:hint="eastAsia" w:asciiTheme="minorEastAsia" w:hAnsiTheme="minorEastAsia" w:eastAsiaTheme="minorEastAsia"/>
          <w:sz w:val="32"/>
          <w:szCs w:val="32"/>
          <w:lang w:val="en-US" w:eastAsia="zh-CN"/>
        </w:rPr>
        <w:t>549万元中央发行的抗疫国债用于定点医院工作人员工资福利。</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1376.53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1339.97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97.34</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24.7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1.79</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；对个人和家庭的补助</w:t>
      </w:r>
      <w:r>
        <w:rPr>
          <w:rFonts w:hint="eastAsia" w:asciiTheme="minorEastAsia" w:hAnsiTheme="minorEastAsia" w:eastAsiaTheme="minorEastAsia"/>
          <w:sz w:val="32"/>
          <w:szCs w:val="32"/>
          <w:lang w:val="en-US" w:eastAsia="zh-CN"/>
        </w:rPr>
        <w:t>11.86万元，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0.87</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18.53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18.53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18.53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18.53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18.53</w:t>
      </w:r>
      <w:r>
        <w:rPr>
          <w:rFonts w:hint="eastAsia" w:asciiTheme="minorEastAsia" w:hAnsiTheme="minorEastAsia"/>
          <w:sz w:val="32"/>
          <w:szCs w:val="32"/>
        </w:rPr>
        <w:t>万元，主要是</w:t>
      </w:r>
      <w:r>
        <w:rPr>
          <w:rFonts w:hint="eastAsia" w:asciiTheme="minorEastAsia" w:hAnsiTheme="minorEastAsia"/>
          <w:sz w:val="32"/>
          <w:szCs w:val="32"/>
          <w:lang w:eastAsia="zh-CN"/>
        </w:rPr>
        <w:t>公务车辆燃油费、过桥过路费、维护修理费及车辆保险费</w:t>
      </w:r>
      <w:r>
        <w:rPr>
          <w:rFonts w:hint="eastAsia" w:asciiTheme="minorEastAsia" w:hAnsiTheme="minorEastAsia"/>
          <w:sz w:val="32"/>
          <w:szCs w:val="32"/>
        </w:rPr>
        <w:t>支出，截止2020年12月31日，我单位公务用车保有量为</w:t>
      </w:r>
      <w:r>
        <w:rPr>
          <w:rFonts w:hint="eastAsia" w:asciiTheme="minorEastAsia" w:hAnsiTheme="minorEastAsia"/>
          <w:sz w:val="32"/>
          <w:szCs w:val="32"/>
          <w:lang w:val="en-US" w:eastAsia="zh-CN"/>
        </w:rPr>
        <w:t>3</w:t>
      </w:r>
      <w:r>
        <w:rPr>
          <w:rFonts w:hint="eastAsia" w:asciiTheme="minorEastAsia" w:hAnsiTheme="minorEastAsia"/>
          <w:sz w:val="32"/>
          <w:szCs w:val="32"/>
        </w:rPr>
        <w:t>辆</w:t>
      </w:r>
      <w:r>
        <w:rPr>
          <w:rFonts w:hint="eastAsia" w:asciiTheme="minorEastAsia" w:hAnsiTheme="minorEastAsia"/>
          <w:sz w:val="32"/>
          <w:szCs w:val="32"/>
          <w:lang w:eastAsia="zh-CN"/>
        </w:rPr>
        <w:t>，经费不足部分均由医院使用自有资金负担</w:t>
      </w:r>
      <w:r>
        <w:rPr>
          <w:rFonts w:hint="eastAsia" w:asciiTheme="minorEastAsia" w:hAnsiTheme="minorEastAsia"/>
          <w:sz w:val="32"/>
          <w:szCs w:val="32"/>
        </w:rPr>
        <w:t>。</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2020年度政府性基金预算财政拨款收入</w:t>
      </w:r>
      <w:r>
        <w:rPr>
          <w:rFonts w:hint="eastAsia" w:asciiTheme="minorEastAsia" w:hAnsiTheme="minorEastAsia" w:eastAsiaTheme="minorEastAsia"/>
          <w:sz w:val="32"/>
          <w:szCs w:val="32"/>
          <w:lang w:val="en-US" w:eastAsia="zh-CN"/>
        </w:rPr>
        <w:t>1149</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1150.34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均为</w:t>
      </w:r>
      <w:r>
        <w:rPr>
          <w:rFonts w:hint="eastAsia" w:asciiTheme="minorEastAsia" w:hAnsiTheme="minorEastAsia" w:eastAsiaTheme="minorEastAsia"/>
          <w:sz w:val="32"/>
          <w:szCs w:val="32"/>
        </w:rPr>
        <w:t>项目支出；年末结转和结余98.66万元。</w:t>
      </w:r>
    </w:p>
    <w:p>
      <w:pPr>
        <w:pStyle w:val="9"/>
        <w:numPr>
          <w:ilvl w:val="0"/>
          <w:numId w:val="0"/>
        </w:numPr>
        <w:spacing w:line="500" w:lineRule="exact"/>
        <w:rPr>
          <w:rFonts w:hint="eastAsia" w:hAnsi="黑体" w:cs="黑体"/>
          <w:sz w:val="32"/>
          <w:szCs w:val="32"/>
          <w:lang w:val="en-US" w:eastAsia="zh-CN"/>
        </w:rPr>
      </w:pPr>
      <w:r>
        <w:rPr>
          <w:rFonts w:hint="eastAsia" w:hAnsi="黑体" w:cs="黑体"/>
          <w:sz w:val="32"/>
          <w:szCs w:val="32"/>
          <w:lang w:val="en-US" w:eastAsia="zh-CN"/>
        </w:rPr>
        <w:t>九、</w:t>
      </w:r>
      <w:r>
        <w:rPr>
          <w:rFonts w:hint="eastAsia" w:ascii="黑体" w:hAnsi="黑体" w:eastAsia="黑体" w:cs="黑体"/>
          <w:sz w:val="32"/>
          <w:szCs w:val="32"/>
        </w:rPr>
        <w:t>国有资本经营预算支出决算</w:t>
      </w:r>
      <w:r>
        <w:rPr>
          <w:rFonts w:hint="eastAsia" w:hAnsi="黑体" w:cs="黑体"/>
          <w:sz w:val="32"/>
          <w:szCs w:val="32"/>
          <w:lang w:val="en-US" w:eastAsia="zh-CN"/>
        </w:rPr>
        <w:t>情况</w:t>
      </w:r>
    </w:p>
    <w:p>
      <w:pPr>
        <w:pStyle w:val="9"/>
        <w:ind w:firstLine="640"/>
        <w:rPr>
          <w:rFonts w:hint="eastAsia" w:ascii="宋体 (正文)" w:hAnsi="宋体 (正文)" w:eastAsia="宋体 (正文)" w:cs="宋体 (正文)"/>
          <w:sz w:val="32"/>
          <w:szCs w:val="32"/>
          <w:lang w:val="en-US" w:eastAsia="zh-CN"/>
        </w:rPr>
      </w:pPr>
      <w:r>
        <w:rPr>
          <w:rFonts w:hint="eastAsia" w:ascii="宋体 (正文)" w:hAnsi="宋体 (正文)" w:eastAsia="宋体 (正文)" w:cs="宋体 (正文)"/>
          <w:sz w:val="32"/>
          <w:szCs w:val="32"/>
          <w:lang w:val="en-US" w:eastAsia="zh-CN"/>
        </w:rPr>
        <w:t>本单位无国有资本经营收支。</w:t>
      </w:r>
    </w:p>
    <w:p>
      <w:pPr>
        <w:pStyle w:val="9"/>
        <w:rPr>
          <w:rFonts w:hAnsi="黑体"/>
          <w:b/>
          <w:sz w:val="32"/>
          <w:szCs w:val="32"/>
        </w:rPr>
      </w:pPr>
      <w:r>
        <w:rPr>
          <w:rFonts w:hint="eastAsia" w:ascii="黑体" w:hAnsi="黑体" w:eastAsia="黑体" w:cs="黑体"/>
          <w:i/>
          <w:color w:val="000000" w:themeColor="text1"/>
          <w:sz w:val="32"/>
          <w:szCs w:val="32"/>
          <w:lang w:val="en-US" w:eastAsia="zh-CN"/>
          <w14:textFill>
            <w14:solidFill>
              <w14:schemeClr w14:val="tx1"/>
            </w14:solidFill>
          </w14:textFill>
        </w:rPr>
        <w:t>十、</w:t>
      </w:r>
      <w:r>
        <w:rPr>
          <w:rFonts w:hint="eastAsia" w:hAnsi="黑体"/>
          <w:b/>
          <w:sz w:val="32"/>
          <w:szCs w:val="32"/>
        </w:rPr>
        <w:t>关于2020年度预算绩效情况的说明</w:t>
      </w:r>
    </w:p>
    <w:p>
      <w:pPr>
        <w:pStyle w:val="9"/>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根据财政部门相关文件精神，部门整体及专项资金绩效评价由一级预算单位完成，湘西自治州</w:t>
      </w:r>
      <w:r>
        <w:rPr>
          <w:rFonts w:hint="eastAsia" w:asciiTheme="minorEastAsia" w:hAnsiTheme="minorEastAsia" w:eastAsiaTheme="minorEastAsia"/>
          <w:sz w:val="32"/>
          <w:szCs w:val="32"/>
          <w:lang w:eastAsia="zh-CN"/>
        </w:rPr>
        <w:t>民政局</w:t>
      </w:r>
      <w:r>
        <w:rPr>
          <w:rFonts w:hint="eastAsia" w:asciiTheme="minorEastAsia" w:hAnsiTheme="minorEastAsia" w:eastAsiaTheme="minorEastAsia"/>
          <w:sz w:val="32"/>
          <w:szCs w:val="32"/>
        </w:rPr>
        <w:t>已对2020年部门整体支出及专项资金进行了全面绩效评价。2020年部门整体支出及专项资金绩效均于年初完成了绩效目标申报，年度完成了绩效目标评价，并按财政部门要求在部门网站上予以公开，本次公开的绩效评价为</w:t>
      </w:r>
      <w:r>
        <w:rPr>
          <w:rFonts w:hint="eastAsia" w:asciiTheme="minorEastAsia" w:hAnsiTheme="minorEastAsia" w:eastAsiaTheme="minorEastAsia"/>
          <w:sz w:val="32"/>
          <w:szCs w:val="32"/>
          <w:lang w:eastAsia="zh-CN"/>
        </w:rPr>
        <w:t>州民政部门</w:t>
      </w:r>
      <w:r>
        <w:rPr>
          <w:rFonts w:hint="eastAsia" w:asciiTheme="minorEastAsia" w:hAnsiTheme="minorEastAsia" w:eastAsiaTheme="minorEastAsia"/>
          <w:sz w:val="32"/>
          <w:szCs w:val="32"/>
        </w:rPr>
        <w:t>整体支出绩效。</w:t>
      </w:r>
    </w:p>
    <w:p>
      <w:pPr>
        <w:pStyle w:val="9"/>
        <w:rPr>
          <w:rFonts w:hint="default" w:ascii="黑体" w:hAnsi="黑体" w:eastAsia="黑体" w:cs="黑体"/>
          <w:b/>
          <w:bCs/>
          <w:i/>
          <w:color w:val="000000" w:themeColor="text1"/>
          <w:sz w:val="32"/>
          <w:szCs w:val="32"/>
          <w:lang w:val="en-US" w:eastAsia="zh-CN"/>
          <w14:textFill>
            <w14:solidFill>
              <w14:schemeClr w14:val="tx1"/>
            </w14:solidFill>
          </w14:textFill>
        </w:rPr>
      </w:pPr>
      <w:r>
        <w:rPr>
          <w:rFonts w:hint="eastAsia" w:ascii="黑体" w:hAnsi="黑体" w:eastAsia="黑体" w:cs="黑体"/>
          <w:b/>
          <w:bCs/>
          <w:i/>
          <w:color w:val="000000" w:themeColor="text1"/>
          <w:sz w:val="32"/>
          <w:szCs w:val="32"/>
          <w:lang w:val="en-US" w:eastAsia="zh-CN"/>
          <w14:textFill>
            <w14:solidFill>
              <w14:schemeClr w14:val="tx1"/>
            </w14:solidFill>
          </w14:textFill>
        </w:rPr>
        <w:t>十一、</w:t>
      </w:r>
      <w:r>
        <w:rPr>
          <w:rFonts w:hint="eastAsia" w:hAnsi="黑体" w:cs="黑体"/>
          <w:b/>
          <w:bCs/>
          <w:i/>
          <w:color w:val="000000" w:themeColor="text1"/>
          <w:sz w:val="32"/>
          <w:szCs w:val="32"/>
          <w:lang w:val="en-US" w:eastAsia="zh-CN"/>
          <w14:textFill>
            <w14:solidFill>
              <w14:schemeClr w14:val="tx1"/>
            </w14:solidFill>
          </w14:textFill>
        </w:rPr>
        <w:t>其他重要事项情况说明</w:t>
      </w:r>
    </w:p>
    <w:p>
      <w:pPr>
        <w:pStyle w:val="9"/>
        <w:rPr>
          <w:rFonts w:hint="eastAsia" w:hAnsi="黑体" w:eastAsia="黑体"/>
          <w:b/>
          <w:sz w:val="32"/>
          <w:szCs w:val="32"/>
          <w:lang w:eastAsia="zh-CN"/>
        </w:rPr>
      </w:pPr>
      <w:r>
        <w:rPr>
          <w:rFonts w:hint="eastAsia" w:hAnsi="黑体"/>
          <w:b/>
          <w:sz w:val="32"/>
          <w:szCs w:val="32"/>
          <w:lang w:val="en-US" w:eastAsia="zh-CN"/>
        </w:rPr>
        <w:t xml:space="preserve">    （一）</w:t>
      </w:r>
      <w:r>
        <w:rPr>
          <w:rFonts w:hint="eastAsia" w:hAnsi="黑体"/>
          <w:b/>
          <w:sz w:val="32"/>
          <w:szCs w:val="32"/>
        </w:rPr>
        <w:t>关于机关运行经费支出</w:t>
      </w:r>
      <w:r>
        <w:rPr>
          <w:rFonts w:hint="eastAsia" w:hAnsi="黑体"/>
          <w:b/>
          <w:sz w:val="32"/>
          <w:szCs w:val="32"/>
          <w:lang w:val="en-US" w:eastAsia="zh-CN"/>
        </w:rPr>
        <w:t>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46.12</w:t>
      </w:r>
      <w:r>
        <w:rPr>
          <w:rFonts w:hint="eastAsia" w:asciiTheme="minorEastAsia" w:hAnsiTheme="minorEastAsia" w:eastAsiaTheme="minorEastAsia"/>
          <w:sz w:val="32"/>
          <w:szCs w:val="32"/>
        </w:rPr>
        <w:t>万元（与部门决算中行政单位和参照公务员法管理事业单位一般公共预算财政拨款基本支出中公用经费之和一致），</w:t>
      </w:r>
      <w:r>
        <w:rPr>
          <w:rFonts w:hint="eastAsia" w:asciiTheme="minorEastAsia" w:hAnsiTheme="minorEastAsia" w:eastAsiaTheme="minorEastAsia"/>
          <w:sz w:val="32"/>
          <w:szCs w:val="32"/>
          <w:lang w:eastAsia="zh-CN"/>
        </w:rPr>
        <w:t>与预算数持平</w:t>
      </w:r>
      <w:r>
        <w:rPr>
          <w:rFonts w:hint="eastAsia" w:asciiTheme="minorEastAsia" w:hAnsiTheme="minorEastAsia" w:eastAsiaTheme="minorEastAsia"/>
          <w:sz w:val="32"/>
          <w:szCs w:val="32"/>
        </w:rPr>
        <w:t>。</w:t>
      </w:r>
    </w:p>
    <w:p>
      <w:pPr>
        <w:pStyle w:val="9"/>
        <w:ind w:firstLine="640" w:firstLineChars="20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3.37</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eastAsia="zh-CN"/>
        </w:rPr>
        <w:t>全院医护人员参加各类外出学术会议产生费用；</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2.79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主要</w:t>
      </w:r>
      <w:r>
        <w:rPr>
          <w:rFonts w:hint="eastAsia" w:asciiTheme="minorEastAsia" w:hAnsiTheme="minorEastAsia" w:eastAsiaTheme="minorEastAsia"/>
          <w:sz w:val="32"/>
          <w:szCs w:val="32"/>
        </w:rPr>
        <w:t>用于</w:t>
      </w:r>
      <w:r>
        <w:rPr>
          <w:rFonts w:hint="eastAsia" w:asciiTheme="minorEastAsia" w:hAnsiTheme="minorEastAsia" w:eastAsiaTheme="minorEastAsia"/>
          <w:sz w:val="32"/>
          <w:szCs w:val="32"/>
          <w:lang w:eastAsia="zh-CN"/>
        </w:rPr>
        <w:t>医护人员</w:t>
      </w:r>
      <w:r>
        <w:rPr>
          <w:rFonts w:hint="eastAsia" w:asciiTheme="minorEastAsia" w:hAnsiTheme="minorEastAsia" w:eastAsiaTheme="minorEastAsia"/>
          <w:sz w:val="32"/>
          <w:szCs w:val="32"/>
        </w:rPr>
        <w:t>参加各类外出学习、进修等培训开支</w:t>
      </w:r>
      <w:r>
        <w:rPr>
          <w:rFonts w:hint="eastAsia" w:asciiTheme="minorEastAsia" w:hAnsiTheme="minorEastAsia" w:eastAsiaTheme="minorEastAsia"/>
          <w:sz w:val="32"/>
          <w:szCs w:val="32"/>
          <w:lang w:val="en-US" w:eastAsia="zh-CN"/>
        </w:rPr>
        <w:t>2.79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w:t>
      </w:r>
    </w:p>
    <w:p>
      <w:pPr>
        <w:pStyle w:val="9"/>
        <w:rPr>
          <w:rFonts w:hint="eastAsia" w:hAnsi="黑体" w:eastAsia="黑体"/>
          <w:b/>
          <w:sz w:val="32"/>
          <w:szCs w:val="32"/>
          <w:lang w:eastAsia="zh-CN"/>
        </w:rPr>
      </w:pPr>
      <w:r>
        <w:rPr>
          <w:rFonts w:hint="eastAsia" w:hAnsi="黑体"/>
          <w:b/>
          <w:sz w:val="32"/>
          <w:szCs w:val="32"/>
          <w:lang w:val="en-US" w:eastAsia="zh-CN"/>
        </w:rPr>
        <w:t xml:space="preserve">   （三）</w:t>
      </w:r>
      <w:r>
        <w:rPr>
          <w:rFonts w:hint="eastAsia" w:hAnsi="黑体"/>
          <w:b/>
          <w:sz w:val="32"/>
          <w:szCs w:val="32"/>
        </w:rPr>
        <w:t>政府采购支出</w:t>
      </w:r>
      <w:r>
        <w:rPr>
          <w:rFonts w:hint="eastAsia" w:hAnsi="黑体"/>
          <w:b/>
          <w:sz w:val="32"/>
          <w:szCs w:val="32"/>
          <w:lang w:val="en-US" w:eastAsia="zh-CN"/>
        </w:rPr>
        <w:t>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 xml:space="preserve"> 万元。</w:t>
      </w:r>
    </w:p>
    <w:p>
      <w:pPr>
        <w:pStyle w:val="9"/>
        <w:ind w:firstLine="320" w:firstLineChars="10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辆，其中，特种专业技术用车</w:t>
      </w:r>
      <w:r>
        <w:rPr>
          <w:rFonts w:hint="eastAsia" w:asciiTheme="minorEastAsia" w:hAnsiTheme="minorEastAsia" w:eastAsiaTheme="minorEastAsia"/>
          <w:sz w:val="32"/>
          <w:szCs w:val="32"/>
          <w:lang w:eastAsia="zh-CN"/>
        </w:rPr>
        <w:t>（救护车）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日常员工外出办理紧急公事用车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台（套）。</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9"/>
        <w:rPr>
          <w:rFonts w:hint="eastAsia" w:asciiTheme="minorEastAsia" w:hAnsiTheme="minorEastAsia" w:eastAsiaTheme="minorEastAsia"/>
          <w:sz w:val="32"/>
          <w:szCs w:val="32"/>
        </w:rPr>
      </w:pP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机关运行经费：是指办公费、印刷费、邮电费、差旅费、福利费、日常维修费、专用材料费等。</w:t>
      </w:r>
      <w:r>
        <w:rPr>
          <w:rFonts w:hint="default" w:asciiTheme="minorEastAsia" w:hAnsiTheme="minorEastAsia" w:eastAsiaTheme="minorEastAsia"/>
          <w:sz w:val="32"/>
          <w:szCs w:val="32"/>
        </w:rPr>
        <w:br w:type="textWrapping"/>
      </w:r>
      <w:r>
        <w:rPr>
          <w:rFonts w:hint="eastAsia" w:asciiTheme="minorEastAsia" w:hAnsiTheme="minorEastAsia" w:eastAsiaTheme="minorEastAsia"/>
          <w:sz w:val="32"/>
          <w:szCs w:val="32"/>
          <w:lang w:val="en-US" w:eastAsia="zh-CN"/>
        </w:rPr>
        <w:t xml:space="preserve">    2、</w:t>
      </w:r>
      <w:r>
        <w:rPr>
          <w:rFonts w:hint="default" w:asciiTheme="minorEastAsia" w:hAnsiTheme="minorEastAsia" w:eastAsiaTheme="minorEastAsia"/>
          <w:sz w:val="32"/>
          <w:szCs w:val="32"/>
        </w:rPr>
        <w:t>“三公”经费：是指用一般公共预算拨款安排的因公出国（境）费、公务用车购置及运行费和公务接待费。</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3、</w:t>
      </w:r>
      <w:r>
        <w:rPr>
          <w:rFonts w:hint="eastAsia" w:cs="黑体" w:asciiTheme="minorEastAsia" w:hAnsiTheme="minorEastAsia" w:eastAsiaTheme="minorEastAsia"/>
          <w:color w:val="000000"/>
          <w:kern w:val="0"/>
          <w:sz w:val="32"/>
          <w:szCs w:val="32"/>
          <w:lang w:val="en-US" w:eastAsia="zh-CN" w:bidi="ar-SA"/>
        </w:rPr>
        <w:t>财政拨款收入：指本级财政当年拨付的资金。</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4、</w:t>
      </w:r>
      <w:r>
        <w:rPr>
          <w:rFonts w:hint="eastAsia" w:cs="黑体" w:asciiTheme="minorEastAsia" w:hAnsiTheme="minorEastAsia" w:eastAsiaTheme="minorEastAsia"/>
          <w:color w:val="000000"/>
          <w:kern w:val="0"/>
          <w:sz w:val="32"/>
          <w:szCs w:val="32"/>
          <w:lang w:val="en-US" w:eastAsia="zh-CN" w:bidi="ar-SA"/>
        </w:rPr>
        <w:t>事业收入：指事业单位开展专业业务活动及辅助活动所取得的收入。</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5、</w:t>
      </w:r>
      <w:r>
        <w:rPr>
          <w:rFonts w:hint="eastAsia" w:cs="黑体" w:asciiTheme="minorEastAsia" w:hAnsiTheme="minorEastAsia" w:eastAsiaTheme="minorEastAsia"/>
          <w:color w:val="000000"/>
          <w:kern w:val="0"/>
          <w:sz w:val="32"/>
          <w:szCs w:val="32"/>
          <w:lang w:val="en-US" w:eastAsia="zh-CN" w:bidi="ar-SA"/>
        </w:rPr>
        <w:t>经营收入：指事业单位在专业业务活动及辅助活动之外开展非独立核算经营活动取得的收入。</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6、</w:t>
      </w:r>
      <w:r>
        <w:rPr>
          <w:rFonts w:hint="eastAsia" w:cs="黑体" w:asciiTheme="minorEastAsia" w:hAnsiTheme="minorEastAsia" w:eastAsiaTheme="minorEastAsia"/>
          <w:color w:val="000000"/>
          <w:kern w:val="0"/>
          <w:sz w:val="32"/>
          <w:szCs w:val="32"/>
          <w:lang w:val="en-US" w:eastAsia="zh-CN" w:bidi="ar-SA"/>
        </w:rPr>
        <w:t>其他收入：指除上述“财政拨款收入”、“上级补助收入”、“事业收入”、“经营收入”、“附属单位上缴收入”等以外的收入</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7、</w:t>
      </w:r>
      <w:r>
        <w:rPr>
          <w:rFonts w:hint="eastAsia" w:cs="黑体" w:asciiTheme="minorEastAsia" w:hAnsiTheme="minorEastAsia" w:eastAsiaTheme="minorEastAsia"/>
          <w:color w:val="000000"/>
          <w:kern w:val="0"/>
          <w:sz w:val="32"/>
          <w:szCs w:val="32"/>
          <w:lang w:val="en-US" w:eastAsia="zh-CN" w:bidi="ar-SA"/>
        </w:rPr>
        <w:t>上年结转和结余：指以前年度尚未完成、结转到本年按有关规定继续使用的资金。</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8、</w:t>
      </w:r>
      <w:r>
        <w:rPr>
          <w:rFonts w:hint="eastAsia" w:cs="黑体" w:asciiTheme="minorEastAsia" w:hAnsiTheme="minorEastAsia" w:eastAsiaTheme="minorEastAsia"/>
          <w:color w:val="000000"/>
          <w:kern w:val="0"/>
          <w:sz w:val="32"/>
          <w:szCs w:val="32"/>
          <w:lang w:val="en-US" w:eastAsia="zh-CN" w:bidi="ar-SA"/>
        </w:rPr>
        <w:t>基本支出：指保障机构正常运转、完成支日常工作任务而发生的人员支出和公用支出。</w:t>
      </w:r>
    </w:p>
    <w:p>
      <w:pPr>
        <w:spacing w:line="60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9、</w:t>
      </w:r>
      <w:r>
        <w:rPr>
          <w:rFonts w:hint="eastAsia" w:cs="黑体" w:asciiTheme="minorEastAsia" w:hAnsiTheme="minorEastAsia" w:eastAsiaTheme="minorEastAsia"/>
          <w:color w:val="000000"/>
          <w:kern w:val="0"/>
          <w:sz w:val="32"/>
          <w:szCs w:val="32"/>
          <w:lang w:val="en-US" w:eastAsia="zh-CN" w:bidi="ar-SA"/>
        </w:rPr>
        <w:t>项目支出：指在基本支出之外为完成特定行政任务和事业发展目标所发生的支出。</w:t>
      </w:r>
    </w:p>
    <w:p>
      <w:pPr>
        <w:pStyle w:val="9"/>
        <w:ind w:firstLine="640" w:firstLineChars="200"/>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bookmarkStart w:id="0" w:name="_GoBack"/>
      <w:bookmarkEnd w:id="0"/>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宋体 (正文)">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2287F"/>
    <w:multiLevelType w:val="singleLevel"/>
    <w:tmpl w:val="E242287F"/>
    <w:lvl w:ilvl="0" w:tentative="0">
      <w:start w:val="3"/>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C16CE6"/>
    <w:multiLevelType w:val="singleLevel"/>
    <w:tmpl w:val="6BC16CE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6057D28"/>
    <w:rsid w:val="062B31F2"/>
    <w:rsid w:val="087502A8"/>
    <w:rsid w:val="089F4B79"/>
    <w:rsid w:val="08D4046D"/>
    <w:rsid w:val="0AF76B37"/>
    <w:rsid w:val="0BA319FE"/>
    <w:rsid w:val="0C1A35EC"/>
    <w:rsid w:val="0D707906"/>
    <w:rsid w:val="0E225947"/>
    <w:rsid w:val="0F160189"/>
    <w:rsid w:val="15254072"/>
    <w:rsid w:val="1B9C2EFA"/>
    <w:rsid w:val="1C3157E2"/>
    <w:rsid w:val="1CD06E6F"/>
    <w:rsid w:val="1F0D013F"/>
    <w:rsid w:val="20453AE3"/>
    <w:rsid w:val="218837E6"/>
    <w:rsid w:val="21AF593A"/>
    <w:rsid w:val="226903A8"/>
    <w:rsid w:val="230E5BBE"/>
    <w:rsid w:val="24E76954"/>
    <w:rsid w:val="25990EA1"/>
    <w:rsid w:val="26741DD6"/>
    <w:rsid w:val="27155B7A"/>
    <w:rsid w:val="279B2813"/>
    <w:rsid w:val="27CD37D7"/>
    <w:rsid w:val="2B751AFE"/>
    <w:rsid w:val="2E4707DE"/>
    <w:rsid w:val="2E9E3C64"/>
    <w:rsid w:val="2F7A0132"/>
    <w:rsid w:val="315D41EE"/>
    <w:rsid w:val="318B4C26"/>
    <w:rsid w:val="329A0101"/>
    <w:rsid w:val="33E83D75"/>
    <w:rsid w:val="35EE33C2"/>
    <w:rsid w:val="371716D6"/>
    <w:rsid w:val="38130EAA"/>
    <w:rsid w:val="391E3B32"/>
    <w:rsid w:val="39B53A5F"/>
    <w:rsid w:val="3BA65A22"/>
    <w:rsid w:val="3BEF3CAA"/>
    <w:rsid w:val="3E116381"/>
    <w:rsid w:val="4008369F"/>
    <w:rsid w:val="40984DF0"/>
    <w:rsid w:val="43340846"/>
    <w:rsid w:val="44734C4C"/>
    <w:rsid w:val="479A6208"/>
    <w:rsid w:val="47EC3D28"/>
    <w:rsid w:val="48207E0A"/>
    <w:rsid w:val="4B0E2A9E"/>
    <w:rsid w:val="4ECB617C"/>
    <w:rsid w:val="4EEB5A0E"/>
    <w:rsid w:val="50155F99"/>
    <w:rsid w:val="508C42E6"/>
    <w:rsid w:val="50F11007"/>
    <w:rsid w:val="51811A2C"/>
    <w:rsid w:val="51D0046D"/>
    <w:rsid w:val="52284BD1"/>
    <w:rsid w:val="52D82EAC"/>
    <w:rsid w:val="54723614"/>
    <w:rsid w:val="559747C8"/>
    <w:rsid w:val="55AE662B"/>
    <w:rsid w:val="573811C9"/>
    <w:rsid w:val="58494F71"/>
    <w:rsid w:val="5B607F70"/>
    <w:rsid w:val="5C4208CA"/>
    <w:rsid w:val="5C8C4E8E"/>
    <w:rsid w:val="5CE76770"/>
    <w:rsid w:val="5D1851F7"/>
    <w:rsid w:val="5DAE747E"/>
    <w:rsid w:val="5DD61199"/>
    <w:rsid w:val="5F304404"/>
    <w:rsid w:val="63B1089F"/>
    <w:rsid w:val="64140EEA"/>
    <w:rsid w:val="642170DB"/>
    <w:rsid w:val="64324543"/>
    <w:rsid w:val="64D929D0"/>
    <w:rsid w:val="664E4743"/>
    <w:rsid w:val="669667C2"/>
    <w:rsid w:val="670105F9"/>
    <w:rsid w:val="68B40E4E"/>
    <w:rsid w:val="6B4626C5"/>
    <w:rsid w:val="6B516E84"/>
    <w:rsid w:val="6C106C0C"/>
    <w:rsid w:val="6DDE6725"/>
    <w:rsid w:val="6E0F58C8"/>
    <w:rsid w:val="6F14725D"/>
    <w:rsid w:val="6F2D47DB"/>
    <w:rsid w:val="70815115"/>
    <w:rsid w:val="70BA48A5"/>
    <w:rsid w:val="71F07B67"/>
    <w:rsid w:val="7297598D"/>
    <w:rsid w:val="73CD6324"/>
    <w:rsid w:val="76FA2478"/>
    <w:rsid w:val="76FF0181"/>
    <w:rsid w:val="7D7045F6"/>
    <w:rsid w:val="7D81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135</TotalTime>
  <ScaleCrop>false</ScaleCrop>
  <LinksUpToDate>false</LinksUpToDate>
  <CharactersWithSpaces>8753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九斤老太</cp:lastModifiedBy>
  <cp:lastPrinted>2021-09-17T06:56:00Z</cp:lastPrinted>
  <dcterms:modified xsi:type="dcterms:W3CDTF">2021-09-17T09:03:48Z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70EB668F4D074B5FAA2AC029F714551B</vt:lpwstr>
  </property>
</Properties>
</file>